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2F769A">
        <w:rPr>
          <w:rFonts w:ascii="Arial" w:hAnsi="Arial" w:cs="Arial"/>
          <w:b/>
          <w:caps/>
          <w:sz w:val="20"/>
          <w:szCs w:val="20"/>
        </w:rPr>
      </w:r>
      <w:r w:rsidR="002F769A">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2F769A">
        <w:rPr>
          <w:rFonts w:ascii="Arial" w:hAnsi="Arial" w:cs="Arial"/>
          <w:b/>
          <w:caps/>
          <w:sz w:val="20"/>
          <w:szCs w:val="20"/>
        </w:rPr>
      </w:r>
      <w:r w:rsidR="002F769A">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2F769A"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 xml:space="preserve">(DUSSM090) Rada oddělení dopravních, plynových, tlakových a zdvihacích zařízení </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2F769A">
              <w:rPr>
                <w:rFonts w:ascii="Arial" w:hAnsi="Arial" w:cs="Arial"/>
                <w:b/>
                <w:caps/>
                <w:spacing w:val="30"/>
                <w:sz w:val="20"/>
                <w:szCs w:val="20"/>
              </w:rPr>
            </w:r>
            <w:r w:rsidR="002F769A">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2F769A">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2F769A">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6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C6EFD"/>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BC13-EB9B-47BA-8142-B2C7AD04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767</Words>
  <Characters>4352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2025-04-02T14:12:00Z</dcterms:modified>
</cp:coreProperties>
</file>