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b/>
          <w:sz w:val="22"/>
          <w:u w:val="single"/>
        </w:rPr>
      </w:pPr>
      <w:bookmarkStart w:id="0" w:name="OLE_LINK2"/>
      <w:bookmarkStart w:id="1" w:name="OLE_LINK1"/>
      <w:bookmarkStart w:id="2" w:name="_GoBack"/>
      <w:bookmarkEnd w:id="2"/>
    </w:p>
    <w:p w:rsidR="00B05468" w:rsidRPr="009B5430" w:rsidRDefault="0050785C" w:rsidP="0050785C">
      <w:pPr>
        <w:pStyle w:val="Nadpis1"/>
        <w:rPr>
          <w:rFonts w:asciiTheme="minorHAnsi" w:hAnsiTheme="minorHAnsi" w:cstheme="minorHAnsi"/>
          <w:sz w:val="28"/>
        </w:rPr>
      </w:pPr>
      <w:r w:rsidRPr="0050785C">
        <w:rPr>
          <w:rFonts w:asciiTheme="minorHAnsi" w:hAnsiTheme="minorHAnsi" w:cstheme="minorHAnsi"/>
          <w:sz w:val="28"/>
        </w:rPr>
        <w:t>NAME OF THE PROJECT</w:t>
      </w:r>
    </w:p>
    <w:p w:rsidR="00B05468" w:rsidRPr="009B5430" w:rsidRDefault="00B05468" w:rsidP="003371A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240"/>
        <w:jc w:val="center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50785C" w:rsidP="0050785C">
      <w:pPr>
        <w:pStyle w:val="Nadpis1"/>
        <w:rPr>
          <w:rFonts w:asciiTheme="minorHAnsi" w:hAnsiTheme="minorHAnsi" w:cstheme="minorHAnsi"/>
          <w:sz w:val="28"/>
        </w:rPr>
      </w:pPr>
      <w:r w:rsidRPr="0050785C">
        <w:rPr>
          <w:rFonts w:asciiTheme="minorHAnsi" w:hAnsiTheme="minorHAnsi" w:cstheme="minorHAnsi"/>
          <w:sz w:val="28"/>
        </w:rPr>
        <w:t>DETAILS CONCERNING THE SCOPE OF THE PROJECT</w:t>
      </w:r>
    </w:p>
    <w:p w:rsidR="00B05468" w:rsidRPr="009B5430" w:rsidRDefault="00B05468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0E07CB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b/>
          <w:sz w:val="22"/>
        </w:rPr>
      </w:pPr>
      <w:r w:rsidRPr="009B5430">
        <w:rPr>
          <w:rFonts w:asciiTheme="minorHAnsi" w:hAnsiTheme="minorHAnsi" w:cstheme="minorHAnsi"/>
          <w:b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5695950" cy="0"/>
                <wp:effectExtent l="9525" t="13970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D264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6.1pt;width:448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peHgIAADsEAAAOAAAAZHJzL2Uyb0RvYy54bWysU8GO2jAQvVfqP1i+s0kooR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"/>
            </w:pict>
          </mc:Fallback>
        </mc:AlternateContent>
      </w:r>
    </w:p>
    <w:p w:rsidR="00B05468" w:rsidRPr="009B5430" w:rsidRDefault="0050785C" w:rsidP="0050785C">
      <w:pPr>
        <w:pStyle w:val="Nadpis1"/>
        <w:rPr>
          <w:rFonts w:asciiTheme="minorHAnsi" w:hAnsiTheme="minorHAnsi" w:cstheme="minorHAnsi"/>
          <w:sz w:val="28"/>
        </w:rPr>
      </w:pPr>
      <w:r w:rsidRPr="0050785C">
        <w:rPr>
          <w:rFonts w:asciiTheme="minorHAnsi" w:hAnsiTheme="minorHAnsi" w:cstheme="minorHAnsi"/>
          <w:sz w:val="28"/>
        </w:rPr>
        <w:t>ALL DATES AND ACTIONS RELEVANT FOR JUSTIFYING THE ADVANCED STATE OF DEVELOPMENT CHARACTER OR THE CONTRACT SIGNED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0E07CB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83820</wp:posOffset>
                </wp:positionV>
                <wp:extent cx="5743575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0CB31D" id="AutoShape 4" o:spid="_x0000_s1026" type="#_x0000_t32" style="position:absolute;margin-left:3.4pt;margin-top:6.6pt;width:45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to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aW+PIO2OViVcmd8gvQkX/WLot8tkqpsiWx4MH47a/BNvEf0zsVfrIYg++GzYmBDAD/U&#10;6lSb3kNCFdAptOR8awk/OUThMXtMH7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"/>
            </w:pict>
          </mc:Fallback>
        </mc:AlternateContent>
      </w:r>
    </w:p>
    <w:p w:rsidR="00B05468" w:rsidRPr="009B5430" w:rsidRDefault="0050785C" w:rsidP="0050785C">
      <w:pPr>
        <w:pStyle w:val="Nadpis1"/>
        <w:rPr>
          <w:rFonts w:asciiTheme="minorHAnsi" w:hAnsiTheme="minorHAnsi" w:cstheme="minorHAnsi"/>
          <w:sz w:val="28"/>
        </w:rPr>
      </w:pPr>
      <w:r w:rsidRPr="0050785C">
        <w:rPr>
          <w:rFonts w:asciiTheme="minorHAnsi" w:hAnsiTheme="minorHAnsi" w:cstheme="minorHAnsi"/>
          <w:sz w:val="28"/>
        </w:rPr>
        <w:t>TECHNICAL SPECIFICATIONS NOT APPLIED AND ALTERNATIVE PROVISIONS AND/OR STANDARDS APPLIED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i/>
          <w:iCs/>
          <w:sz w:val="22"/>
        </w:rPr>
      </w:pPr>
    </w:p>
    <w:bookmarkEnd w:id="0"/>
    <w:bookmarkEnd w:id="1"/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Decision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2006/679/EC of 28 March 2006 concerning the technical specification for interoperability relating to the control-command and signalling subsystem of the trans-European conventional rail system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Decision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2008/163/EC of 20 December 2007 concerning the technical specification of interoperability relating to safety in railway tunnels in the trans-European conventional and high-speed rail system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Decision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2008/164/EC of 21 December 2007 concerning the technical specification of interoperability relating to persons with reduced mobility in the trans-European conventional and high-speed rail system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Decision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2011/274/EU of 26 April 2011 concerning a technical specification for interoperability relating to the ‘energy’ subsystem of the trans-European conventional rail system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Decision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2011/275/EU of 26 April 2011 concerning a technical specification for interoperability relating to the ‘infrastructure’ subsystem of the trans-European conventional rail system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Decision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2012/88/EU of 25 January 2012 on the technical specification for interoperability relating to the control-command and signalling subsystems of the trans-European rail system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lastRenderedPageBreak/>
        <w:t>Commission Regulation (EU) No 1299/2014 of 18 November 2014 on the technical specifications for interoperability relating to the ‘infrastructure’ subsystem of the rail system in the European Union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Commission Regulation (EU) No 1300/2014 of 18 November 2014 on the technical specifications for interoperability relating to accessibility of the Union's rail system for persons with disabilities and persons with reduced mobility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Commission Regulation (EU) No 1301/2014 of 18 November 2014 on the technical specifications for interoperability relating to the ‘energy’ subsystem of the rail system in the Union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Commission Regulation (EU) No 1303/2014 of 18 November 2014 concerning the technical specification for interoperability relating to ‘safety in railway tunnels’ of the rail system of the European Union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Decision (EU)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2015/14 of 5 January 2015 amending Decision 2012/88/EU on the technical specification for interoperability relating to the control-command and signalling subsystems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of the trans-European rail syste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m</w:t>
      </w:r>
    </w:p>
    <w:p w:rsidR="00764BCF" w:rsidRPr="00D3123C" w:rsidRDefault="00764BCF" w:rsidP="00764BCF">
      <w:pP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</w:p>
    <w:p w:rsidR="00764BCF" w:rsidRPr="00D3123C" w:rsidRDefault="00764BCF" w:rsidP="00764BCF">
      <w:pPr>
        <w:numPr>
          <w:ilvl w:val="0"/>
          <w:numId w:val="8"/>
        </w:numPr>
        <w:tabs>
          <w:tab w:val="clear" w:pos="720"/>
        </w:tabs>
        <w:suppressAutoHyphens w:val="0"/>
        <w:ind w:left="284" w:hanging="284"/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</w:pP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Commission Regulation (EU) </w:t>
      </w:r>
      <w:r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 xml:space="preserve">No </w:t>
      </w:r>
      <w:r w:rsidRPr="00D3123C">
        <w:rPr>
          <w:rStyle w:val="Siln"/>
          <w:rFonts w:ascii="Lucida Sans Unicode" w:hAnsi="Lucida Sans Unicode" w:cs="Lucida Sans Unicode"/>
          <w:b w:val="0"/>
          <w:color w:val="444444"/>
          <w:sz w:val="19"/>
          <w:szCs w:val="19"/>
          <w:lang w:val="en-US"/>
        </w:rPr>
        <w:t>2016/919 of 27 May 2016 on the technical specification for interoperability relating to the ‘control-command and signalling’ subsystems of the rail system in the European Union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0E07CB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249555</wp:posOffset>
                </wp:positionV>
                <wp:extent cx="5705475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C968A5" id="AutoShape 5" o:spid="_x0000_s1026" type="#_x0000_t32" style="position:absolute;margin-left:1.9pt;margin-top:19.6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/8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+wxzt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"/>
            </w:pict>
          </mc:Fallback>
        </mc:AlternateContent>
      </w:r>
    </w:p>
    <w:p w:rsidR="00B05468" w:rsidRDefault="0050785C" w:rsidP="0050785C">
      <w:pPr>
        <w:pStyle w:val="Nadpis1"/>
        <w:rPr>
          <w:rFonts w:asciiTheme="minorHAnsi" w:hAnsiTheme="minorHAnsi" w:cstheme="minorHAnsi"/>
          <w:sz w:val="28"/>
        </w:rPr>
      </w:pPr>
      <w:r w:rsidRPr="0050785C">
        <w:rPr>
          <w:rFonts w:asciiTheme="minorHAnsi" w:hAnsiTheme="minorHAnsi" w:cstheme="minorHAnsi"/>
          <w:sz w:val="28"/>
        </w:rPr>
        <w:t>ANY OTHER RELEVANT INFORMATION, SUCH AS AREA(S) OF USE, INCLUDING COORDINATION IN ACCORDANCE WITH ART. 17(2) OF IMPLEMENTING REGULATION (EU) 2018/545.</w:t>
      </w:r>
    </w:p>
    <w:p w:rsidR="00764BCF" w:rsidRPr="00764BCF" w:rsidRDefault="00764BCF" w:rsidP="00764BCF"/>
    <w:p w:rsidR="008A155B" w:rsidRPr="009B5430" w:rsidRDefault="000E07CB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230505</wp:posOffset>
                </wp:positionV>
                <wp:extent cx="5705475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16DDEB" id="AutoShape 6" o:spid="_x0000_s1026" type="#_x0000_t32" style="position:absolute;margin-left:5.65pt;margin-top:18.15pt;width:44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b9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c19eQZtc7Aq5c74BOlJvupnRb9bJFXZEtnwYPx21uCbeI/onYu/WA1B9sMXxcCGAH6o&#10;1ak2vYeEKqBTaMn51hJ+cojCY/YQZ+l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"/>
            </w:pict>
          </mc:Fallback>
        </mc:AlternateContent>
      </w:r>
    </w:p>
    <w:p w:rsidR="00B05468" w:rsidRPr="009B5430" w:rsidRDefault="0050785C" w:rsidP="0050785C">
      <w:pPr>
        <w:pStyle w:val="Nadpis1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</w:t>
      </w:r>
      <w:r w:rsidRPr="0050785C">
        <w:rPr>
          <w:rFonts w:asciiTheme="minorHAnsi" w:hAnsiTheme="minorHAnsi" w:cstheme="minorHAnsi"/>
          <w:sz w:val="28"/>
        </w:rPr>
        <w:t>NFORMATION TO JUSTIFY THE NON-VIABILITY OF THE PROJECT</w:t>
      </w:r>
    </w:p>
    <w:p w:rsidR="008A155B" w:rsidRPr="009B5430" w:rsidRDefault="008A155B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b/>
          <w:sz w:val="28"/>
          <w:szCs w:val="32"/>
        </w:rPr>
      </w:pPr>
    </w:p>
    <w:p w:rsidR="008A155B" w:rsidRPr="009B5430" w:rsidRDefault="000E07CB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b/>
          <w:sz w:val="28"/>
          <w:szCs w:val="32"/>
        </w:rPr>
      </w:pPr>
      <w:r w:rsidRPr="009B5430">
        <w:rPr>
          <w:rFonts w:asciiTheme="minorHAnsi" w:hAnsiTheme="minorHAnsi" w:cstheme="minorHAnsi"/>
          <w:b/>
          <w:noProof/>
          <w:sz w:val="28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279400</wp:posOffset>
                </wp:positionV>
                <wp:extent cx="5705475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9D5BDF" id="AutoShape 7" o:spid="_x0000_s1026" type="#_x0000_t32" style="position:absolute;margin-left:8.65pt;margin-top:22pt;width:449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a6HgIAADsEAAAOAAAAZHJzL2Uyb0RvYy54bWysU8GO2jAQvVfqP1i+QxKaLB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"/>
            </w:pict>
          </mc:Fallback>
        </mc:AlternateContent>
      </w:r>
    </w:p>
    <w:p w:rsidR="00B05468" w:rsidRPr="009B5430" w:rsidRDefault="0050785C" w:rsidP="0050785C">
      <w:pPr>
        <w:pStyle w:val="Nadpis1"/>
        <w:rPr>
          <w:rFonts w:asciiTheme="minorHAnsi" w:hAnsiTheme="minorHAnsi" w:cstheme="minorHAnsi"/>
          <w:sz w:val="28"/>
        </w:rPr>
      </w:pPr>
      <w:r w:rsidRPr="0050785C">
        <w:rPr>
          <w:rFonts w:asciiTheme="minorHAnsi" w:hAnsiTheme="minorHAnsi" w:cstheme="minorHAnsi"/>
          <w:sz w:val="28"/>
        </w:rPr>
        <w:t>DEROGATIONS ALREADY GRANTED TO THAT PROJECT (IF ANY)</w:t>
      </w:r>
    </w:p>
    <w:sectPr w:rsidR="00B05468" w:rsidRPr="009B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09" w:rsidRDefault="00803A09" w:rsidP="004136BD">
      <w:r>
        <w:separator/>
      </w:r>
    </w:p>
  </w:endnote>
  <w:endnote w:type="continuationSeparator" w:id="0">
    <w:p w:rsidR="00803A09" w:rsidRDefault="00803A09" w:rsidP="0041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09" w:rsidRDefault="00803A09" w:rsidP="004136BD">
      <w:r>
        <w:separator/>
      </w:r>
    </w:p>
  </w:footnote>
  <w:footnote w:type="continuationSeparator" w:id="0">
    <w:p w:rsidR="00803A09" w:rsidRDefault="00803A09" w:rsidP="0041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lang w:val="cs-CZ" w:eastAsia="cs-CZ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4F122D6"/>
    <w:multiLevelType w:val="hybridMultilevel"/>
    <w:tmpl w:val="4E50B8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1A73"/>
    <w:multiLevelType w:val="hybridMultilevel"/>
    <w:tmpl w:val="BD888F98"/>
    <w:lvl w:ilvl="0" w:tplc="25F44D48">
      <w:start w:val="1"/>
      <w:numFmt w:val="upperLetter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5B"/>
    <w:rsid w:val="000226B9"/>
    <w:rsid w:val="000E07CB"/>
    <w:rsid w:val="00161D7F"/>
    <w:rsid w:val="00215F88"/>
    <w:rsid w:val="002F5811"/>
    <w:rsid w:val="003371A5"/>
    <w:rsid w:val="00354EFC"/>
    <w:rsid w:val="0036431C"/>
    <w:rsid w:val="003815D6"/>
    <w:rsid w:val="00392ED6"/>
    <w:rsid w:val="003F4D42"/>
    <w:rsid w:val="004136BD"/>
    <w:rsid w:val="004206D5"/>
    <w:rsid w:val="004A6856"/>
    <w:rsid w:val="004D4AE7"/>
    <w:rsid w:val="004E55F6"/>
    <w:rsid w:val="0050785C"/>
    <w:rsid w:val="00556191"/>
    <w:rsid w:val="005E0C9E"/>
    <w:rsid w:val="00605F6E"/>
    <w:rsid w:val="0067488C"/>
    <w:rsid w:val="006A3019"/>
    <w:rsid w:val="006F5A41"/>
    <w:rsid w:val="007309E4"/>
    <w:rsid w:val="00764BCF"/>
    <w:rsid w:val="00775B90"/>
    <w:rsid w:val="00803A09"/>
    <w:rsid w:val="00836D57"/>
    <w:rsid w:val="008521B2"/>
    <w:rsid w:val="00861C98"/>
    <w:rsid w:val="00887679"/>
    <w:rsid w:val="008A155B"/>
    <w:rsid w:val="00924056"/>
    <w:rsid w:val="0095686D"/>
    <w:rsid w:val="00962C67"/>
    <w:rsid w:val="00972C13"/>
    <w:rsid w:val="0099626C"/>
    <w:rsid w:val="009A51FA"/>
    <w:rsid w:val="009B3113"/>
    <w:rsid w:val="009B5430"/>
    <w:rsid w:val="00A36332"/>
    <w:rsid w:val="00A70554"/>
    <w:rsid w:val="00AD044B"/>
    <w:rsid w:val="00AD72CE"/>
    <w:rsid w:val="00AF2F2E"/>
    <w:rsid w:val="00B05468"/>
    <w:rsid w:val="00B950EC"/>
    <w:rsid w:val="00C074A1"/>
    <w:rsid w:val="00C769CE"/>
    <w:rsid w:val="00C82555"/>
    <w:rsid w:val="00CE09F8"/>
    <w:rsid w:val="00D474DC"/>
    <w:rsid w:val="00D75D56"/>
    <w:rsid w:val="00E3439C"/>
    <w:rsid w:val="00E35CBE"/>
    <w:rsid w:val="00E458B9"/>
    <w:rsid w:val="00EA27C1"/>
    <w:rsid w:val="00ED2602"/>
    <w:rsid w:val="00FC58F5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4F0C73"/>
  <w15:chartTrackingRefBased/>
  <w15:docId w15:val="{5FF53879-9024-4140-A640-CFF61291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9C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56191"/>
    <w:pPr>
      <w:numPr>
        <w:numId w:val="6"/>
      </w:numPr>
      <w:spacing w:before="240"/>
      <w:ind w:left="567" w:hanging="567"/>
      <w:jc w:val="both"/>
      <w:outlineLvl w:val="0"/>
    </w:pPr>
    <w:rPr>
      <w:rFonts w:ascii="Arial" w:hAnsi="Arial" w:cs="Arial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b/>
      <w:lang w:val="cs-CZ" w:eastAsia="cs-CZ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rFonts w:cs="Times New Roman"/>
      <w:sz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hAnsi="Times New Roman" w:cs="Times New Roman"/>
      <w:sz w:val="20"/>
      <w:szCs w:val="2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  <w:ind w:firstLine="709"/>
      <w:jc w:val="both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136BD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136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136BD"/>
    <w:rPr>
      <w:sz w:val="24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215F8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6191"/>
    <w:rPr>
      <w:rFonts w:ascii="Arial" w:hAnsi="Arial" w:cs="Arial"/>
      <w:b/>
      <w:sz w:val="32"/>
      <w:szCs w:val="3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95686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5686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95686D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86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5686D"/>
    <w:rPr>
      <w:b/>
      <w:bCs/>
      <w:lang w:eastAsia="zh-CN"/>
    </w:rPr>
  </w:style>
  <w:style w:type="paragraph" w:customStyle="1" w:styleId="Default">
    <w:name w:val="Default"/>
    <w:rsid w:val="009568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iln">
    <w:name w:val="Strong"/>
    <w:basedOn w:val="Standardnpsmoodstavce"/>
    <w:qFormat/>
    <w:rsid w:val="00764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 podkladů pro oznámení neuplatnění TSI Evropské Komisi podle čl</vt:lpstr>
    </vt:vector>
  </TitlesOfParts>
  <Company>HP Inc.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 podkladů pro oznámení neuplatnění TSI Evropské Komisi podle čl</dc:title>
  <dc:subject/>
  <dc:creator>Kosan Milos</dc:creator>
  <cp:keywords/>
  <cp:lastModifiedBy>Pavel Marek</cp:lastModifiedBy>
  <cp:revision>8</cp:revision>
  <cp:lastPrinted>2016-10-18T10:01:00Z</cp:lastPrinted>
  <dcterms:created xsi:type="dcterms:W3CDTF">2022-03-16T14:56:00Z</dcterms:created>
  <dcterms:modified xsi:type="dcterms:W3CDTF">2022-03-25T14:06:00Z</dcterms:modified>
</cp:coreProperties>
</file>